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515F" w14:textId="479E3A3E" w:rsidR="003C1EFE" w:rsidRDefault="003C1EFE" w:rsidP="003C1EFE">
      <w:pPr>
        <w:spacing w:before="120" w:after="120"/>
        <w:jc w:val="center"/>
        <w:outlineLvl w:val="0"/>
        <w:rPr>
          <w:b/>
          <w:iCs/>
          <w:sz w:val="40"/>
          <w:szCs w:val="40"/>
          <w:u w:val="single"/>
        </w:rPr>
      </w:pPr>
      <w:r w:rsidRPr="00C13EF0">
        <w:rPr>
          <w:noProof/>
        </w:rPr>
        <w:drawing>
          <wp:inline distT="0" distB="0" distL="0" distR="0" wp14:anchorId="1C2D279B" wp14:editId="69D4C108">
            <wp:extent cx="1612900" cy="1400676"/>
            <wp:effectExtent l="0" t="0" r="6350" b="9525"/>
            <wp:docPr id="1" name="Picture 1" descr="C:\Users\preschool\Pictures\IMG-20210713-WA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chool\Pictures\IMG-20210713-WA0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412" cy="1403726"/>
                    </a:xfrm>
                    <a:prstGeom prst="rect">
                      <a:avLst/>
                    </a:prstGeom>
                    <a:noFill/>
                    <a:ln>
                      <a:noFill/>
                    </a:ln>
                  </pic:spPr>
                </pic:pic>
              </a:graphicData>
            </a:graphic>
          </wp:inline>
        </w:drawing>
      </w:r>
    </w:p>
    <w:p w14:paraId="30765B6D" w14:textId="77777777" w:rsidR="003C1EFE" w:rsidRDefault="003C1EFE" w:rsidP="003C1EFE">
      <w:pPr>
        <w:spacing w:before="120" w:after="120"/>
        <w:jc w:val="center"/>
        <w:outlineLvl w:val="0"/>
        <w:rPr>
          <w:b/>
          <w:iCs/>
          <w:sz w:val="40"/>
          <w:szCs w:val="40"/>
          <w:u w:val="single"/>
        </w:rPr>
      </w:pPr>
    </w:p>
    <w:p w14:paraId="5896C26A" w14:textId="615C6407" w:rsidR="003C1EFE" w:rsidRPr="003C1EFE" w:rsidRDefault="003C1EFE" w:rsidP="003C1EFE">
      <w:pPr>
        <w:spacing w:before="120" w:after="120"/>
        <w:jc w:val="center"/>
        <w:outlineLvl w:val="0"/>
        <w:rPr>
          <w:b/>
          <w:iCs/>
          <w:sz w:val="44"/>
          <w:szCs w:val="44"/>
          <w:u w:val="single"/>
        </w:rPr>
      </w:pPr>
      <w:r w:rsidRPr="003C1EFE">
        <w:rPr>
          <w:b/>
          <w:iCs/>
          <w:sz w:val="44"/>
          <w:szCs w:val="44"/>
          <w:u w:val="single"/>
        </w:rPr>
        <w:t>Sickness</w:t>
      </w:r>
      <w:r w:rsidRPr="003C1EFE">
        <w:rPr>
          <w:b/>
          <w:iCs/>
          <w:sz w:val="44"/>
          <w:szCs w:val="44"/>
          <w:u w:val="single"/>
        </w:rPr>
        <w:t xml:space="preserve"> Policy</w:t>
      </w:r>
    </w:p>
    <w:p w14:paraId="45A9AF4E" w14:textId="77777777" w:rsidR="003C1EFE" w:rsidRPr="003C1EFE" w:rsidRDefault="003C1EFE" w:rsidP="003C1EFE">
      <w:pPr>
        <w:spacing w:before="120" w:after="120"/>
        <w:jc w:val="center"/>
        <w:outlineLvl w:val="0"/>
        <w:rPr>
          <w:b/>
          <w:iCs/>
          <w:sz w:val="40"/>
          <w:szCs w:val="40"/>
          <w:u w:val="single"/>
        </w:rPr>
      </w:pPr>
    </w:p>
    <w:p w14:paraId="2AAD433C" w14:textId="1FFB63A0" w:rsidR="003C1EFE" w:rsidRPr="00D304CA" w:rsidRDefault="003C1EFE" w:rsidP="003C1EFE">
      <w:pPr>
        <w:spacing w:before="120" w:after="120"/>
        <w:rPr>
          <w:sz w:val="32"/>
          <w:szCs w:val="32"/>
        </w:rPr>
      </w:pPr>
      <w:r w:rsidRPr="00D304CA">
        <w:rPr>
          <w:sz w:val="32"/>
          <w:szCs w:val="32"/>
        </w:rPr>
        <w:t xml:space="preserve">Our policy </w:t>
      </w:r>
      <w:r>
        <w:rPr>
          <w:sz w:val="32"/>
          <w:szCs w:val="32"/>
        </w:rPr>
        <w:t>on excluding</w:t>
      </w:r>
      <w:r w:rsidRPr="00D304CA">
        <w:rPr>
          <w:sz w:val="32"/>
          <w:szCs w:val="32"/>
        </w:rPr>
        <w:t xml:space="preserve"> ill or infectious children is discussed with parents.  This includes procedures for contacting parents - or other authorised adults - if a child becomes ill while in the setting.</w:t>
      </w:r>
    </w:p>
    <w:p w14:paraId="53F92FC2" w14:textId="678CC593" w:rsidR="003C1EFE" w:rsidRPr="00D304CA" w:rsidRDefault="003C1EFE" w:rsidP="003C1EFE">
      <w:pPr>
        <w:numPr>
          <w:ilvl w:val="0"/>
          <w:numId w:val="1"/>
        </w:numPr>
        <w:spacing w:before="120" w:after="120"/>
        <w:rPr>
          <w:sz w:val="32"/>
          <w:szCs w:val="32"/>
        </w:rPr>
      </w:pPr>
      <w:r w:rsidRPr="00D304CA">
        <w:rPr>
          <w:sz w:val="32"/>
          <w:szCs w:val="32"/>
        </w:rPr>
        <w:t xml:space="preserve">We do not provide care for </w:t>
      </w:r>
      <w:r>
        <w:rPr>
          <w:sz w:val="32"/>
          <w:szCs w:val="32"/>
        </w:rPr>
        <w:t>unwell children</w:t>
      </w:r>
      <w:r w:rsidRPr="00D304CA">
        <w:rPr>
          <w:sz w:val="32"/>
          <w:szCs w:val="32"/>
        </w:rPr>
        <w:t xml:space="preserve">, </w:t>
      </w:r>
      <w:r>
        <w:rPr>
          <w:sz w:val="32"/>
          <w:szCs w:val="32"/>
        </w:rPr>
        <w:t xml:space="preserve">those who </w:t>
      </w:r>
      <w:r w:rsidRPr="00D304CA">
        <w:rPr>
          <w:sz w:val="32"/>
          <w:szCs w:val="32"/>
        </w:rPr>
        <w:t xml:space="preserve">have a temperature, or sickness and diarrhoea, or who have an infectious disease.  If a child has been </w:t>
      </w:r>
      <w:r>
        <w:rPr>
          <w:sz w:val="32"/>
          <w:szCs w:val="32"/>
        </w:rPr>
        <w:t>given a dose of any pain relief medication on the day they are due at the setting, they are unable to attend pre-school that</w:t>
      </w:r>
      <w:r w:rsidRPr="00D304CA">
        <w:rPr>
          <w:sz w:val="32"/>
          <w:szCs w:val="32"/>
        </w:rPr>
        <w:t xml:space="preserve"> day.</w:t>
      </w:r>
    </w:p>
    <w:p w14:paraId="19AA12F3" w14:textId="77777777" w:rsidR="003C1EFE" w:rsidRPr="00D304CA" w:rsidRDefault="003C1EFE" w:rsidP="003C1EFE">
      <w:pPr>
        <w:numPr>
          <w:ilvl w:val="0"/>
          <w:numId w:val="1"/>
        </w:numPr>
        <w:spacing w:before="120" w:after="120"/>
        <w:rPr>
          <w:sz w:val="32"/>
          <w:szCs w:val="32"/>
        </w:rPr>
      </w:pPr>
      <w:r w:rsidRPr="00D304CA">
        <w:rPr>
          <w:sz w:val="32"/>
          <w:szCs w:val="32"/>
        </w:rPr>
        <w:t>In the event of a temperature, we ask that children be kept home for 48 hours to help with infection control</w:t>
      </w:r>
    </w:p>
    <w:p w14:paraId="2CA5B637" w14:textId="77777777" w:rsidR="003C1EFE" w:rsidRPr="00D304CA" w:rsidRDefault="003C1EFE" w:rsidP="003C1EFE">
      <w:pPr>
        <w:numPr>
          <w:ilvl w:val="0"/>
          <w:numId w:val="1"/>
        </w:numPr>
        <w:spacing w:before="120" w:after="120"/>
        <w:rPr>
          <w:sz w:val="32"/>
          <w:szCs w:val="32"/>
        </w:rPr>
      </w:pPr>
      <w:r w:rsidRPr="00D304CA">
        <w:rPr>
          <w:sz w:val="32"/>
          <w:szCs w:val="32"/>
        </w:rPr>
        <w:t>If your child has been given antibiotics</w:t>
      </w:r>
      <w:r>
        <w:rPr>
          <w:sz w:val="32"/>
          <w:szCs w:val="32"/>
        </w:rPr>
        <w:t>,</w:t>
      </w:r>
      <w:r w:rsidRPr="00D304CA">
        <w:rPr>
          <w:sz w:val="32"/>
          <w:szCs w:val="32"/>
        </w:rPr>
        <w:t xml:space="preserve"> then they cannot attend pre-school for the first </w:t>
      </w:r>
      <w:r>
        <w:rPr>
          <w:sz w:val="32"/>
          <w:szCs w:val="32"/>
        </w:rPr>
        <w:t>48</w:t>
      </w:r>
      <w:r w:rsidRPr="00D304CA">
        <w:rPr>
          <w:sz w:val="32"/>
          <w:szCs w:val="32"/>
        </w:rPr>
        <w:t xml:space="preserve"> hours of taking the antibiotics.</w:t>
      </w:r>
    </w:p>
    <w:p w14:paraId="6C4C2FD3" w14:textId="77777777" w:rsidR="003C1EFE" w:rsidRPr="00D304CA" w:rsidRDefault="003C1EFE" w:rsidP="003C1EFE">
      <w:pPr>
        <w:numPr>
          <w:ilvl w:val="0"/>
          <w:numId w:val="1"/>
        </w:numPr>
        <w:spacing w:before="120" w:after="120"/>
        <w:rPr>
          <w:sz w:val="32"/>
          <w:szCs w:val="32"/>
        </w:rPr>
      </w:pPr>
      <w:r w:rsidRPr="00D304CA">
        <w:rPr>
          <w:sz w:val="32"/>
          <w:szCs w:val="32"/>
        </w:rPr>
        <w:t>In line with health department guidelines</w:t>
      </w:r>
      <w:r>
        <w:rPr>
          <w:sz w:val="32"/>
          <w:szCs w:val="32"/>
        </w:rPr>
        <w:t>,</w:t>
      </w:r>
      <w:r w:rsidRPr="00D304CA">
        <w:rPr>
          <w:sz w:val="32"/>
          <w:szCs w:val="32"/>
        </w:rPr>
        <w:t xml:space="preserve"> parents with children suffering from diarrhoea and or vomiting are advised to keep their children at home for a further 48 hours from when symptoms clear. This is to aid recovery and minimise the spread of infections.</w:t>
      </w:r>
    </w:p>
    <w:p w14:paraId="41D3954F" w14:textId="77777777" w:rsidR="003C1EFE" w:rsidRPr="00D304CA" w:rsidRDefault="003C1EFE" w:rsidP="003C1EFE">
      <w:pPr>
        <w:numPr>
          <w:ilvl w:val="0"/>
          <w:numId w:val="1"/>
        </w:numPr>
        <w:spacing w:before="120" w:after="120"/>
        <w:rPr>
          <w:sz w:val="32"/>
          <w:szCs w:val="32"/>
        </w:rPr>
      </w:pPr>
      <w:r w:rsidRPr="00D304CA">
        <w:rPr>
          <w:sz w:val="32"/>
          <w:szCs w:val="32"/>
        </w:rPr>
        <w:t xml:space="preserve">Children with head lice are not excluded but must be treated to remedy the condition. </w:t>
      </w:r>
    </w:p>
    <w:p w14:paraId="6D13C1A7" w14:textId="77777777" w:rsidR="003C1EFE" w:rsidRPr="00D304CA" w:rsidRDefault="003C1EFE" w:rsidP="003C1EFE">
      <w:pPr>
        <w:numPr>
          <w:ilvl w:val="0"/>
          <w:numId w:val="1"/>
        </w:numPr>
        <w:spacing w:before="120" w:after="120"/>
        <w:rPr>
          <w:sz w:val="32"/>
          <w:szCs w:val="32"/>
        </w:rPr>
      </w:pPr>
      <w:r w:rsidRPr="00D304CA">
        <w:rPr>
          <w:sz w:val="32"/>
          <w:szCs w:val="32"/>
        </w:rPr>
        <w:t>Parents are notified if there is a case of head lice in the setting.</w:t>
      </w:r>
    </w:p>
    <w:p w14:paraId="29F90839" w14:textId="77777777" w:rsidR="003C1EFE" w:rsidRPr="00D304CA" w:rsidRDefault="003C1EFE" w:rsidP="003C1EFE">
      <w:pPr>
        <w:numPr>
          <w:ilvl w:val="0"/>
          <w:numId w:val="1"/>
        </w:numPr>
        <w:spacing w:before="120" w:after="120"/>
        <w:rPr>
          <w:sz w:val="32"/>
          <w:szCs w:val="32"/>
        </w:rPr>
      </w:pPr>
      <w:r w:rsidRPr="00D304CA">
        <w:rPr>
          <w:sz w:val="32"/>
          <w:szCs w:val="32"/>
        </w:rPr>
        <w:t>Parents are notified if there is an infectious disease, such as chicken pox.</w:t>
      </w:r>
    </w:p>
    <w:p w14:paraId="51BD438E" w14:textId="77777777" w:rsidR="003C1EFE" w:rsidRPr="00D304CA" w:rsidRDefault="003C1EFE" w:rsidP="003C1EFE">
      <w:pPr>
        <w:numPr>
          <w:ilvl w:val="0"/>
          <w:numId w:val="1"/>
        </w:numPr>
        <w:spacing w:before="120" w:after="120"/>
        <w:rPr>
          <w:sz w:val="32"/>
          <w:szCs w:val="32"/>
        </w:rPr>
      </w:pPr>
      <w:r w:rsidRPr="00D304CA">
        <w:rPr>
          <w:sz w:val="32"/>
          <w:szCs w:val="32"/>
        </w:rPr>
        <w:t xml:space="preserve">Hand, foot, and mouth are highly contagious. Children showing symptoms of Hand, Foot, and Mouth will need to be kept home </w:t>
      </w:r>
      <w:r w:rsidRPr="00D304CA">
        <w:rPr>
          <w:sz w:val="32"/>
          <w:szCs w:val="32"/>
        </w:rPr>
        <w:lastRenderedPageBreak/>
        <w:t>from preschool for 5 days, and until blisters/spots have scabbed over.</w:t>
      </w:r>
    </w:p>
    <w:p w14:paraId="64D5780C" w14:textId="77777777" w:rsidR="003C1EFE" w:rsidRPr="00D304CA" w:rsidRDefault="003C1EFE" w:rsidP="003C1EFE">
      <w:pPr>
        <w:numPr>
          <w:ilvl w:val="0"/>
          <w:numId w:val="1"/>
        </w:numPr>
        <w:spacing w:before="120" w:after="120"/>
        <w:rPr>
          <w:sz w:val="32"/>
          <w:szCs w:val="32"/>
        </w:rPr>
      </w:pPr>
      <w:r w:rsidRPr="00D304CA">
        <w:rPr>
          <w:sz w:val="32"/>
          <w:szCs w:val="32"/>
        </w:rPr>
        <w:t xml:space="preserve">HIV (Human Immunodeficiency Virus) may affect children or families attending the setting. Staff may or may not be informed about it. </w:t>
      </w:r>
    </w:p>
    <w:p w14:paraId="6C6B5FEA" w14:textId="77777777" w:rsidR="003C1EFE" w:rsidRPr="00D304CA" w:rsidRDefault="003C1EFE" w:rsidP="003C1EFE">
      <w:pPr>
        <w:numPr>
          <w:ilvl w:val="0"/>
          <w:numId w:val="1"/>
        </w:numPr>
        <w:spacing w:before="120" w:after="120"/>
        <w:rPr>
          <w:sz w:val="32"/>
          <w:szCs w:val="32"/>
        </w:rPr>
      </w:pPr>
      <w:r w:rsidRPr="00D304CA">
        <w:rPr>
          <w:sz w:val="32"/>
          <w:szCs w:val="32"/>
        </w:rPr>
        <w:t xml:space="preserve">Children or families are not excluded because of HIV. </w:t>
      </w:r>
    </w:p>
    <w:p w14:paraId="6E4B8200" w14:textId="77777777" w:rsidR="003C1EFE" w:rsidRPr="00D304CA" w:rsidRDefault="003C1EFE" w:rsidP="003C1EFE">
      <w:pPr>
        <w:numPr>
          <w:ilvl w:val="0"/>
          <w:numId w:val="1"/>
        </w:numPr>
        <w:spacing w:before="120" w:after="120"/>
        <w:rPr>
          <w:sz w:val="32"/>
          <w:szCs w:val="32"/>
        </w:rPr>
      </w:pPr>
      <w:r w:rsidRPr="00D304CA">
        <w:rPr>
          <w:sz w:val="32"/>
          <w:szCs w:val="32"/>
        </w:rPr>
        <w:t>Good hygiene practice concerning the clearing of any spilled bodily fluids is carried out at all times.</w:t>
      </w:r>
    </w:p>
    <w:p w14:paraId="61C72CB7" w14:textId="77777777" w:rsidR="003C1EFE" w:rsidRPr="00D304CA" w:rsidRDefault="003C1EFE" w:rsidP="003C1EFE">
      <w:pPr>
        <w:numPr>
          <w:ilvl w:val="0"/>
          <w:numId w:val="1"/>
        </w:numPr>
        <w:spacing w:before="120" w:after="120"/>
        <w:rPr>
          <w:sz w:val="32"/>
          <w:szCs w:val="32"/>
        </w:rPr>
      </w:pPr>
      <w:r w:rsidRPr="00D304CA">
        <w:rPr>
          <w:sz w:val="32"/>
          <w:szCs w:val="32"/>
        </w:rPr>
        <w:t xml:space="preserve">We will notify Ofsted of any serious and notifiable illnesses.  We will do this within 14 days and understand that Ofsted may take action against us if we don’t. We will use the following form to notify them </w:t>
      </w:r>
      <w:r w:rsidRPr="00D304CA">
        <w:rPr>
          <w:color w:val="4F81BD"/>
          <w:sz w:val="32"/>
          <w:szCs w:val="32"/>
        </w:rPr>
        <w:t>(</w:t>
      </w:r>
      <w:hyperlink r:id="rId8" w:history="1">
        <w:r w:rsidRPr="00D304CA">
          <w:rPr>
            <w:rStyle w:val="Hyperlink"/>
            <w:rFonts w:eastAsiaTheme="majorEastAsia"/>
            <w:sz w:val="32"/>
            <w:szCs w:val="32"/>
          </w:rPr>
          <w:t>https://www.gov.uk/guidance/report-a-serious-childcare-incident</w:t>
        </w:r>
      </w:hyperlink>
      <w:r w:rsidRPr="00D304CA">
        <w:rPr>
          <w:color w:val="4F81BD"/>
          <w:sz w:val="32"/>
          <w:szCs w:val="32"/>
          <w:u w:val="single"/>
        </w:rPr>
        <w:t>)</w:t>
      </w:r>
    </w:p>
    <w:p w14:paraId="310B45EB" w14:textId="77777777" w:rsidR="003C1EFE" w:rsidRPr="00D304CA" w:rsidRDefault="003C1EFE" w:rsidP="003C1EFE">
      <w:pPr>
        <w:numPr>
          <w:ilvl w:val="0"/>
          <w:numId w:val="1"/>
        </w:numPr>
        <w:spacing w:before="120" w:after="120"/>
        <w:rPr>
          <w:sz w:val="32"/>
          <w:szCs w:val="32"/>
        </w:rPr>
      </w:pPr>
      <w:r w:rsidRPr="00D304CA">
        <w:rPr>
          <w:sz w:val="32"/>
          <w:szCs w:val="32"/>
        </w:rPr>
        <w:t>We will also notify Public Health England.</w:t>
      </w:r>
    </w:p>
    <w:p w14:paraId="18860F42" w14:textId="77777777" w:rsidR="003C1EFE" w:rsidRPr="00D304CA" w:rsidRDefault="003C1EFE" w:rsidP="003C1EFE">
      <w:pPr>
        <w:spacing w:before="120" w:after="120"/>
        <w:ind w:left="360"/>
        <w:rPr>
          <w:sz w:val="32"/>
          <w:szCs w:val="32"/>
        </w:rPr>
      </w:pPr>
      <w:r w:rsidRPr="00D304CA">
        <w:rPr>
          <w:sz w:val="32"/>
          <w:szCs w:val="32"/>
        </w:rPr>
        <w:t>Avon, Gloucestershire and Wiltshire HPT</w:t>
      </w:r>
    </w:p>
    <w:p w14:paraId="6A040402" w14:textId="77777777" w:rsidR="003C1EFE" w:rsidRPr="00D304CA" w:rsidRDefault="003C1EFE" w:rsidP="003C1EFE">
      <w:pPr>
        <w:spacing w:before="120" w:after="120"/>
        <w:ind w:left="360"/>
        <w:rPr>
          <w:sz w:val="32"/>
          <w:szCs w:val="32"/>
        </w:rPr>
      </w:pPr>
      <w:r w:rsidRPr="00D304CA">
        <w:rPr>
          <w:sz w:val="32"/>
          <w:szCs w:val="32"/>
        </w:rPr>
        <w:t>(Health Protection Team)</w:t>
      </w:r>
    </w:p>
    <w:p w14:paraId="371AA0EF" w14:textId="77777777" w:rsidR="003C1EFE" w:rsidRPr="00D304CA" w:rsidRDefault="003C1EFE" w:rsidP="003C1EFE">
      <w:pPr>
        <w:spacing w:before="120" w:after="120"/>
        <w:ind w:left="360"/>
        <w:rPr>
          <w:sz w:val="32"/>
          <w:szCs w:val="32"/>
        </w:rPr>
      </w:pPr>
      <w:r w:rsidRPr="00D304CA">
        <w:rPr>
          <w:sz w:val="32"/>
          <w:szCs w:val="32"/>
        </w:rPr>
        <w:t>Public Health England South West</w:t>
      </w:r>
    </w:p>
    <w:p w14:paraId="139CD35C" w14:textId="77777777" w:rsidR="003C1EFE" w:rsidRPr="00D304CA" w:rsidRDefault="003C1EFE" w:rsidP="003C1EFE">
      <w:pPr>
        <w:spacing w:before="120" w:after="120"/>
        <w:ind w:left="360"/>
        <w:rPr>
          <w:sz w:val="32"/>
          <w:szCs w:val="32"/>
        </w:rPr>
      </w:pPr>
      <w:r w:rsidRPr="00D304CA">
        <w:rPr>
          <w:sz w:val="32"/>
          <w:szCs w:val="32"/>
        </w:rPr>
        <w:t>2 Rivergate</w:t>
      </w:r>
    </w:p>
    <w:p w14:paraId="02651E6F" w14:textId="77777777" w:rsidR="003C1EFE" w:rsidRPr="00D304CA" w:rsidRDefault="003C1EFE" w:rsidP="003C1EFE">
      <w:pPr>
        <w:spacing w:before="120" w:after="120"/>
        <w:ind w:left="360"/>
        <w:rPr>
          <w:sz w:val="32"/>
          <w:szCs w:val="32"/>
        </w:rPr>
      </w:pPr>
      <w:r w:rsidRPr="00D304CA">
        <w:rPr>
          <w:sz w:val="32"/>
          <w:szCs w:val="32"/>
        </w:rPr>
        <w:t>Redcliffe</w:t>
      </w:r>
    </w:p>
    <w:p w14:paraId="7C4D29AA" w14:textId="77777777" w:rsidR="003C1EFE" w:rsidRPr="00D304CA" w:rsidRDefault="003C1EFE" w:rsidP="003C1EFE">
      <w:pPr>
        <w:spacing w:before="120" w:after="120"/>
        <w:ind w:left="360"/>
        <w:rPr>
          <w:sz w:val="32"/>
          <w:szCs w:val="32"/>
        </w:rPr>
      </w:pPr>
      <w:r w:rsidRPr="00D304CA">
        <w:rPr>
          <w:sz w:val="32"/>
          <w:szCs w:val="32"/>
        </w:rPr>
        <w:t>Bristol</w:t>
      </w:r>
    </w:p>
    <w:p w14:paraId="37445872" w14:textId="77777777" w:rsidR="003C1EFE" w:rsidRPr="00D304CA" w:rsidRDefault="003C1EFE" w:rsidP="003C1EFE">
      <w:pPr>
        <w:spacing w:before="120" w:after="120"/>
        <w:ind w:left="360"/>
        <w:rPr>
          <w:sz w:val="32"/>
          <w:szCs w:val="32"/>
        </w:rPr>
      </w:pPr>
      <w:r w:rsidRPr="00D304CA">
        <w:rPr>
          <w:sz w:val="32"/>
          <w:szCs w:val="32"/>
        </w:rPr>
        <w:t>BS1 6EH</w:t>
      </w:r>
    </w:p>
    <w:p w14:paraId="5401D75E" w14:textId="77777777" w:rsidR="003C1EFE" w:rsidRPr="00D304CA" w:rsidRDefault="003C1EFE" w:rsidP="003C1EFE">
      <w:pPr>
        <w:spacing w:before="120" w:after="120"/>
        <w:ind w:left="360"/>
        <w:rPr>
          <w:sz w:val="32"/>
          <w:szCs w:val="32"/>
        </w:rPr>
      </w:pPr>
      <w:r w:rsidRPr="00D304CA">
        <w:rPr>
          <w:sz w:val="32"/>
          <w:szCs w:val="32"/>
        </w:rPr>
        <w:t>Tel: 0300 3038162</w:t>
      </w:r>
    </w:p>
    <w:p w14:paraId="65B015B3" w14:textId="77777777" w:rsidR="003C1EFE" w:rsidRPr="00D304CA" w:rsidRDefault="003C1EFE" w:rsidP="003C1EFE">
      <w:pPr>
        <w:spacing w:before="120" w:after="120"/>
        <w:ind w:left="360"/>
        <w:rPr>
          <w:sz w:val="32"/>
          <w:szCs w:val="32"/>
        </w:rPr>
      </w:pPr>
    </w:p>
    <w:p w14:paraId="2F3D6B17" w14:textId="77777777" w:rsidR="003C1EFE" w:rsidRPr="00D304CA" w:rsidRDefault="003C1EFE" w:rsidP="003C1EFE">
      <w:pPr>
        <w:spacing w:before="120" w:after="120"/>
        <w:ind w:left="360"/>
        <w:rPr>
          <w:sz w:val="32"/>
          <w:szCs w:val="32"/>
        </w:rPr>
      </w:pPr>
      <w:r w:rsidRPr="00D304CA">
        <w:rPr>
          <w:sz w:val="32"/>
          <w:szCs w:val="32"/>
        </w:rPr>
        <w:t>Link to notifiable diseases</w:t>
      </w:r>
    </w:p>
    <w:p w14:paraId="62421CE2" w14:textId="77777777" w:rsidR="003C1EFE" w:rsidRPr="00D304CA" w:rsidRDefault="003C1EFE" w:rsidP="003C1EFE">
      <w:pPr>
        <w:spacing w:before="120" w:after="120"/>
        <w:ind w:left="360"/>
        <w:rPr>
          <w:color w:val="4F81BD"/>
          <w:sz w:val="32"/>
          <w:szCs w:val="32"/>
          <w:u w:val="single"/>
        </w:rPr>
      </w:pPr>
      <w:r w:rsidRPr="00D304CA">
        <w:rPr>
          <w:color w:val="4F81BD"/>
          <w:sz w:val="32"/>
          <w:szCs w:val="32"/>
        </w:rPr>
        <w:t>(</w:t>
      </w:r>
      <w:r w:rsidRPr="00D304CA">
        <w:rPr>
          <w:color w:val="4F81BD"/>
          <w:sz w:val="32"/>
          <w:szCs w:val="32"/>
          <w:u w:val="single"/>
        </w:rPr>
        <w:t>htps://www.gov.uk/guidance/notifiable-diseases-and-causative-organisms-how-to-report-list-of-notifiable diseases</w:t>
      </w:r>
    </w:p>
    <w:p w14:paraId="1D5AE78A" w14:textId="77777777" w:rsidR="003C1EFE" w:rsidRPr="00D304CA" w:rsidRDefault="003C1EFE" w:rsidP="003C1EFE">
      <w:pPr>
        <w:rPr>
          <w:sz w:val="32"/>
          <w:szCs w:val="32"/>
        </w:rPr>
      </w:pPr>
    </w:p>
    <w:p w14:paraId="3A2F9CFD" w14:textId="77777777" w:rsidR="00B67CE2" w:rsidRDefault="00B67CE2"/>
    <w:sectPr w:rsidR="00B67C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529D" w14:textId="77777777" w:rsidR="006A445A" w:rsidRDefault="006A445A" w:rsidP="003C1EFE">
      <w:r>
        <w:separator/>
      </w:r>
    </w:p>
  </w:endnote>
  <w:endnote w:type="continuationSeparator" w:id="0">
    <w:p w14:paraId="5F0EDF19" w14:textId="77777777" w:rsidR="006A445A" w:rsidRDefault="006A445A" w:rsidP="003C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C8EB" w14:textId="77777777" w:rsidR="006A445A" w:rsidRDefault="006A445A" w:rsidP="003C1EFE">
      <w:r>
        <w:separator/>
      </w:r>
    </w:p>
  </w:footnote>
  <w:footnote w:type="continuationSeparator" w:id="0">
    <w:p w14:paraId="3581C42B" w14:textId="77777777" w:rsidR="006A445A" w:rsidRDefault="006A445A" w:rsidP="003C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61F3"/>
    <w:multiLevelType w:val="hybridMultilevel"/>
    <w:tmpl w:val="E6C249C8"/>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5817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FE"/>
    <w:rsid w:val="00251A0E"/>
    <w:rsid w:val="00322E25"/>
    <w:rsid w:val="003C1EFE"/>
    <w:rsid w:val="006A445A"/>
    <w:rsid w:val="00B67CE2"/>
    <w:rsid w:val="00DD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BF9"/>
  <w15:chartTrackingRefBased/>
  <w15:docId w15:val="{8F73D97B-568A-4A90-A832-F106854A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F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C1E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E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E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E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E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E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E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E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E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E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E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E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E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EFE"/>
    <w:rPr>
      <w:rFonts w:eastAsiaTheme="majorEastAsia" w:cstheme="majorBidi"/>
      <w:color w:val="272727" w:themeColor="text1" w:themeTint="D8"/>
    </w:rPr>
  </w:style>
  <w:style w:type="paragraph" w:styleId="Title">
    <w:name w:val="Title"/>
    <w:basedOn w:val="Normal"/>
    <w:next w:val="Normal"/>
    <w:link w:val="TitleChar"/>
    <w:uiPriority w:val="10"/>
    <w:qFormat/>
    <w:rsid w:val="003C1E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EFE"/>
    <w:pPr>
      <w:spacing w:before="160"/>
      <w:jc w:val="center"/>
    </w:pPr>
    <w:rPr>
      <w:i/>
      <w:iCs/>
      <w:color w:val="404040" w:themeColor="text1" w:themeTint="BF"/>
    </w:rPr>
  </w:style>
  <w:style w:type="character" w:customStyle="1" w:styleId="QuoteChar">
    <w:name w:val="Quote Char"/>
    <w:basedOn w:val="DefaultParagraphFont"/>
    <w:link w:val="Quote"/>
    <w:uiPriority w:val="29"/>
    <w:rsid w:val="003C1EFE"/>
    <w:rPr>
      <w:i/>
      <w:iCs/>
      <w:color w:val="404040" w:themeColor="text1" w:themeTint="BF"/>
    </w:rPr>
  </w:style>
  <w:style w:type="paragraph" w:styleId="ListParagraph">
    <w:name w:val="List Paragraph"/>
    <w:basedOn w:val="Normal"/>
    <w:uiPriority w:val="34"/>
    <w:qFormat/>
    <w:rsid w:val="003C1EFE"/>
    <w:pPr>
      <w:ind w:left="720"/>
      <w:contextualSpacing/>
    </w:pPr>
  </w:style>
  <w:style w:type="character" w:styleId="IntenseEmphasis">
    <w:name w:val="Intense Emphasis"/>
    <w:basedOn w:val="DefaultParagraphFont"/>
    <w:uiPriority w:val="21"/>
    <w:qFormat/>
    <w:rsid w:val="003C1EFE"/>
    <w:rPr>
      <w:i/>
      <w:iCs/>
      <w:color w:val="2F5496" w:themeColor="accent1" w:themeShade="BF"/>
    </w:rPr>
  </w:style>
  <w:style w:type="paragraph" w:styleId="IntenseQuote">
    <w:name w:val="Intense Quote"/>
    <w:basedOn w:val="Normal"/>
    <w:next w:val="Normal"/>
    <w:link w:val="IntenseQuoteChar"/>
    <w:uiPriority w:val="30"/>
    <w:qFormat/>
    <w:rsid w:val="003C1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EFE"/>
    <w:rPr>
      <w:i/>
      <w:iCs/>
      <w:color w:val="2F5496" w:themeColor="accent1" w:themeShade="BF"/>
    </w:rPr>
  </w:style>
  <w:style w:type="character" w:styleId="IntenseReference">
    <w:name w:val="Intense Reference"/>
    <w:basedOn w:val="DefaultParagraphFont"/>
    <w:uiPriority w:val="32"/>
    <w:qFormat/>
    <w:rsid w:val="003C1EFE"/>
    <w:rPr>
      <w:b/>
      <w:bCs/>
      <w:smallCaps/>
      <w:color w:val="2F5496" w:themeColor="accent1" w:themeShade="BF"/>
      <w:spacing w:val="5"/>
    </w:rPr>
  </w:style>
  <w:style w:type="character" w:styleId="Hyperlink">
    <w:name w:val="Hyperlink"/>
    <w:uiPriority w:val="99"/>
    <w:unhideWhenUsed/>
    <w:rsid w:val="003C1EFE"/>
    <w:rPr>
      <w:color w:val="0000FF"/>
      <w:u w:val="single"/>
    </w:rPr>
  </w:style>
  <w:style w:type="paragraph" w:styleId="Header">
    <w:name w:val="header"/>
    <w:basedOn w:val="Normal"/>
    <w:link w:val="HeaderChar"/>
    <w:uiPriority w:val="99"/>
    <w:unhideWhenUsed/>
    <w:rsid w:val="003C1EFE"/>
    <w:pPr>
      <w:tabs>
        <w:tab w:val="center" w:pos="4513"/>
        <w:tab w:val="right" w:pos="9026"/>
      </w:tabs>
    </w:pPr>
  </w:style>
  <w:style w:type="character" w:customStyle="1" w:styleId="HeaderChar">
    <w:name w:val="Header Char"/>
    <w:basedOn w:val="DefaultParagraphFont"/>
    <w:link w:val="Header"/>
    <w:uiPriority w:val="99"/>
    <w:rsid w:val="003C1EF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3C1EFE"/>
    <w:pPr>
      <w:tabs>
        <w:tab w:val="center" w:pos="4513"/>
        <w:tab w:val="right" w:pos="9026"/>
      </w:tabs>
    </w:pPr>
  </w:style>
  <w:style w:type="character" w:customStyle="1" w:styleId="FooterChar">
    <w:name w:val="Footer Char"/>
    <w:basedOn w:val="DefaultParagraphFont"/>
    <w:link w:val="Footer"/>
    <w:uiPriority w:val="99"/>
    <w:rsid w:val="003C1EFE"/>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port-a-serious-childcare-incide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aldridge</dc:creator>
  <cp:keywords/>
  <dc:description/>
  <cp:lastModifiedBy>nicola aldridge</cp:lastModifiedBy>
  <cp:revision>1</cp:revision>
  <dcterms:created xsi:type="dcterms:W3CDTF">2026-01-26T10:36:00Z</dcterms:created>
  <dcterms:modified xsi:type="dcterms:W3CDTF">2026-01-26T10:42:00Z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6540aa18-6b3e-4001-bc3f-3edc78fdd3c3</vt:lpwstr>
  </property>
</Properties>
</file>